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vedomá si významu kultúry pre rozvoj a upevnenie vlasteneckého cítenia, prehlbovania vzťahu k slovenskej štátnosti, ochrany a sprístupnenia kultúrneho a národného dedičstva, podpory slovenskej mládeže a jej zapájania do kultúrneho a spoločenského procesu a udržania národných, kresťanských a demokratických hodnôt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vyhlasuje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výzvu na predkladanie žiadostí na poskytnutie dotácie na ochranu a rozvoj miestnej a regionálnej kultúry v obmedzenom režime v roku 2022.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Podmienky poskytnutia dotácie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Matica slovenská poskytne dotáciu na aktivity týkajúce sa ochrany a rozvoja kultúry na Slovensku na základe: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vyplneného formulára žiadosti o dotáciu,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možností vyplývajúcich z výšky objemu finančných prostriedkov.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Dotácia je určená na podporu: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kultúrnych aktivít, ktoré vychádzajú z poslania a úloh MS,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ochrany a rozvoja kultúrneho dedičstva,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aktivít rozvíjajúcich tradičnú ľudovú kultúru,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národných aktivít slovenskej mládeže,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športových matičných aktivít.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Napríklad: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organizovanie festivalov, prehliadok, súťaží, tvorivých dielní, vzdelávania, sympózií, výstav, vydávanie publikácií, a pod.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Dotácia je určená na projekty ochrany a rozvoja miestnej a regionálnej kultúry.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Projekty, ktoré sú súčasťou plánu hlavných aktivít Matice slovenskej,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budú z hodnotiaceho procesu vyradené.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hodnotiaceho procesu budú vyradení aj tí žiadatelia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ktorí si neplnia svoje povinnosti voči MS, a o ktorých tak rozhodne ČÚ MS.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 Žiadateľ je povinný pri propagácii projektu uvádzať vetu: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S finančnou podporou Matice slovenskej alebo logo Matice slovenskej.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Oprávnení žiadatelia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Oprávnenými žiadateľmi sú: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068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miestne odbory MS, odbory Mladej Matice s právnou subjektivitou,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068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záujmové a vedecké odbory MS.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Oprávnený žiadateľ je každý aktívny miestny odbor MS, odbor Mladej Matice s právnou subjektivitou a záujmový či vedecký odbor MS, ktorý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má splnené všetky povinnosti vo vzťahu k ČÚ MS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(zaplatené členské príspevky a ďalšie povinnosti podľa stanov MS,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poslané riadne vyúčtovanie dotácie z predchádzajúceho roka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 základe zmluvných podmienok a pod.)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Oprávnené a neoprávnené výdavky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Oprávnené výdavky sú: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nájom priestorov,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technické zabezpečenie (napr. ozvučenie, osvetlenie a pod.),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vystúpenie umeleckých kolektívov,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nákup krojov a kostýmov pre účely vystúpení, ako aj ich jednotlivých súčastí (čižmy, opasky, košele a pod.),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prenájom krojov a kostýmov pre účely umeleckých vystúpení,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preprava materiálu, vrátane kulís pre účely umeleckých vystúpení,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preprava kolektívov (s priloženou prezenčnou listinou, resp. menným zoznamom prepravovaných osôb a prepravným listom, alebo cestovným príkazom),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ubytovanie účinkujúcich (s priloženou prezenčnou listinou, resp. menným zoznamom ubytovaných osôb)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propagačné materiály (tlač pozvánok, bulletin, letáky, plagáty...),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strava a občerstvenie pre účinkujúcich a účastníkov podujatia (s priloženou prezenčnou listinou, resp. menným zoznamom stravníkov),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obstaranie spotrebného materiálu,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služby súvisiace s realizáciou projektu (výroba fotografií...),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materiál (tvorivé dielne), kulisy,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vecné ceny.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Neoprávnené výdavky sú: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kapitálové výdavky (investície),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úhrada miezd, dohôd o vykonaní práce a odmien pracovníkov žiadateľa či iných miestnych odborov, finančné ceny a finančné dary,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reklamné predmety (perá, tašky a pod.),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pohonné hmoty,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taxislužba,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recepcie.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alkoholické nápoje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Výška dotácie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Maximálna výška dotácie na projekt je v sume 500 eur. Jednému oprávnenému žiadateľovi môže byť schválená dotácia maximálne na jeden projekt, vo výnimočných prípadoch aj na dva projekty.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Celková výška podpory projektov definovaných v tejto výzve bude závisieť od finančných možností Matice slovenskej.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Hodnotenie žiadostí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Žiadatelia posielajú svoje formuláre žiadostí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1 ks originál z každej podanej žiadosti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adresu: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Matica slovenská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Mgr. Radoslav Žgrada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Grösslingova 23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812 51 Bratislava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obálke viditeľne označte: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Žiadosť o dotáciu!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Formuláre žiadostí sa zaevidujú v centrálnej databáze projektov. Priebežne sa žiadosti predkladajú trojčlennej komisii menovanej predsedom MS, ktorá rozhoduje o projektoch počas celého roka a rokovať môže aj formou per rollam. Komisia oznámi výsledok rozhodnutia žiadateľovi na jeho emailovú adresu uvedené v žiadosti. Komisia prioritne rozhoduje o skôr podaných projektoch. Komisia prihliada na špecifickosť pandemickej situácie, jej vplyv na aktivity a podujatia v prospech činností oprávnených žiadateľov.  Žiadosť o dotáciu môže oprávnený žiadateľ podávať od uverejnenia tejto výzvy na webe MS, a to až do 30. 11. 2022. 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Poskytnutie dotácie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Finančné príspevky budú po schválení projektu predsedom MS zaslané na účet žiadateľa, s ktorým Matica slovenská uzatvorí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zmluvu o poskytnutí účelovej dotácie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Zmluva sa zasiela v dvoch vyhotoveniach, jedno vyhotovenie pre Maticu slovenskú, jedno vyhotovenie pre žiadateľa. Dotácia bude poskytnutá prostredníctvom Finančno-ekonomického útvaru MS, a to bezhotovostne na účet žiadateľa, respektíve príslušného domu Matice slovenskej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až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po prijatí podpísanej zmluvy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 poskytnutí účelovej dotácie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 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Dotácia môže byť použitá len na realizáciu schváleného projektu a na základe podmienok uvedených v zmluve o poskytnutí dotácie.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Schválená dotácia nemôže byť presunutá na iný projekt.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Matica slovenská má právo vykonať kontrolu kedykoľvek v priebehu realizácie projektu, ako aj po jeho skončení za účelom zistenia nakladania s poskytnutou dotáciou.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Vyúčtovanie dotácie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Žiadateľ zodpovedá za účelné a hospodárne využitie dotácie.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skončení projektu je žiadateľ povinný vecne a finančne zhodnotiť realizovaný projekt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najneskôr do 30 dní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 jeho zrealizovaní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(projekty realizované v decembri 2022 najneskôr do 10. 1. 2023) a to na vyššie uvedenú adresu prostredníctvom formulára s názvom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Vyúčtovanie dotácie poskytnutej na projekty ochrany a rozvoja miestnej a regionálnej kultúry v roku 2022, ktorý si vyžiadate na ČÚ MS alebo stiahnete z matičnej webovej stránky v sekcii Regionálna kultúra.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 formuláru žiadateľ prikladá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kópie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prvotných účtovných dokladov aj s prílohami (faktúry, účtenky, prezenčné listiny, resp. menné zoznamy a pod.).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Poskytnutú dotáciu je potrebné vyčerpať v súlade s termínmi uvedenými v projekte najneskôr do konca roka 2022. V prípade, že sa projekt z vážnych dôvodov nebude realizovať je žiadateľ povinný dotáciu vrátiť a to najneskôr do 27. decembra 2022.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Martine 17. 12. 2021                                                       JUDr. Marián Gešper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predseda MS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Kontakt: Matica slovenská, Mgr. Radoslav Žgrada, Grösslingova 23, 812 51 Bratislava,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Tel.: 0918 904 923; e-mail: radoslav.zgrada@matica.sk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418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070.0" w:type="dxa"/>
      <w:jc w:val="left"/>
      <w:tblInd w:w="0.0" w:type="dxa"/>
      <w:tblBorders>
        <w:top w:color="808080" w:space="0" w:sz="18" w:val="single"/>
        <w:right w:color="808080" w:space="0" w:sz="18" w:val="single"/>
        <w:insideV w:color="808080" w:space="0" w:sz="18" w:val="single"/>
      </w:tblBorders>
      <w:tblLayout w:type="fixed"/>
      <w:tblLook w:val="0000"/>
    </w:tblPr>
    <w:tblGrid>
      <w:gridCol w:w="940"/>
      <w:gridCol w:w="8130"/>
      <w:tblGridChange w:id="0">
        <w:tblGrid>
          <w:gridCol w:w="940"/>
          <w:gridCol w:w="8130"/>
        </w:tblGrid>
      </w:tblGridChange>
    </w:tblGrid>
    <w:tr>
      <w:trPr>
        <w:cantSplit w:val="0"/>
        <w:tblHeader w:val="0"/>
      </w:trPr>
      <w:tc>
        <w:tcPr>
          <w:tcBorders>
            <w:top w:color="808080" w:space="0" w:sz="18" w:val="single"/>
            <w:right w:color="808080" w:space="0" w:sz="18" w:val="single"/>
          </w:tcBorders>
          <w:shd w:fill="auto" w:val="clear"/>
        </w:tcPr>
        <w:p w:rsidR="00000000" w:rsidDel="00000000" w:rsidP="00000000" w:rsidRDefault="00000000" w:rsidRPr="00000000" w14:paraId="0000009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1</w:t>
          </w:r>
        </w:p>
      </w:tc>
      <w:tc>
        <w:tcPr>
          <w:tcBorders>
            <w:top w:color="808080" w:space="0" w:sz="18" w:val="single"/>
            <w:left w:color="808080" w:space="0" w:sz="18" w:val="single"/>
          </w:tcBorders>
          <w:shd w:fill="auto" w:val="clear"/>
        </w:tcPr>
        <w:p w:rsidR="00000000" w:rsidDel="00000000" w:rsidP="00000000" w:rsidRDefault="00000000" w:rsidRPr="00000000" w14:paraId="0000009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070.0" w:type="dxa"/>
      <w:jc w:val="left"/>
      <w:tblInd w:w="0.0" w:type="dxa"/>
      <w:tblBorders>
        <w:top w:color="808080" w:space="0" w:sz="18" w:val="single"/>
        <w:right w:color="808080" w:space="0" w:sz="18" w:val="single"/>
        <w:insideV w:color="808080" w:space="0" w:sz="18" w:val="single"/>
      </w:tblBorders>
      <w:tblLayout w:type="fixed"/>
      <w:tblLook w:val="0000"/>
    </w:tblPr>
    <w:tblGrid>
      <w:gridCol w:w="940"/>
      <w:gridCol w:w="8130"/>
      <w:tblGridChange w:id="0">
        <w:tblGrid>
          <w:gridCol w:w="940"/>
          <w:gridCol w:w="8130"/>
        </w:tblGrid>
      </w:tblGridChange>
    </w:tblGrid>
    <w:tr>
      <w:trPr>
        <w:cantSplit w:val="0"/>
        <w:tblHeader w:val="0"/>
      </w:trPr>
      <w:tc>
        <w:tcPr>
          <w:tcBorders>
            <w:top w:color="808080" w:space="0" w:sz="18" w:val="single"/>
            <w:right w:color="808080" w:space="0" w:sz="18" w:val="single"/>
          </w:tcBorders>
          <w:shd w:fill="auto" w:val="clear"/>
        </w:tcPr>
        <w:p w:rsidR="00000000" w:rsidDel="00000000" w:rsidP="00000000" w:rsidRDefault="00000000" w:rsidRPr="00000000" w14:paraId="0000009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808080" w:space="0" w:sz="18" w:val="single"/>
            <w:left w:color="808080" w:space="0" w:sz="18" w:val="single"/>
          </w:tcBorders>
          <w:shd w:fill="auto" w:val="clear"/>
        </w:tcPr>
        <w:p w:rsidR="00000000" w:rsidDel="00000000" w:rsidP="00000000" w:rsidRDefault="00000000" w:rsidRPr="00000000" w14:paraId="0000009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070.0" w:type="dxa"/>
      <w:jc w:val="left"/>
      <w:tblInd w:w="0.0" w:type="dxa"/>
      <w:tblBorders>
        <w:bottom w:color="808080" w:space="0" w:sz="18" w:val="single"/>
        <w:right w:color="808080" w:space="0" w:sz="18" w:val="single"/>
        <w:insideH w:color="808080" w:space="0" w:sz="18" w:val="single"/>
        <w:insideV w:color="808080" w:space="0" w:sz="18" w:val="single"/>
      </w:tblBorders>
      <w:tblLayout w:type="fixed"/>
      <w:tblLook w:val="0000"/>
    </w:tblPr>
    <w:tblGrid>
      <w:gridCol w:w="7939"/>
      <w:gridCol w:w="1131"/>
      <w:tblGridChange w:id="0">
        <w:tblGrid>
          <w:gridCol w:w="7939"/>
          <w:gridCol w:w="1131"/>
        </w:tblGrid>
      </w:tblGridChange>
    </w:tblGrid>
    <w:tr>
      <w:trPr>
        <w:cantSplit w:val="0"/>
        <w:trHeight w:val="288" w:hRule="atLeast"/>
        <w:tblHeader w:val="0"/>
      </w:trPr>
      <w:tc>
        <w:tcPr>
          <w:tcBorders>
            <w:bottom w:color="808080" w:space="0" w:sz="18" w:val="single"/>
            <w:right w:color="808080" w:space="0" w:sz="18" w:val="single"/>
          </w:tcBorders>
          <w:shd w:fill="auto" w:val="clear"/>
        </w:tcPr>
        <w:p w:rsidR="00000000" w:rsidDel="00000000" w:rsidP="00000000" w:rsidRDefault="00000000" w:rsidRPr="00000000" w14:paraId="0000009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44"/>
              <w:szCs w:val="44"/>
              <w:u w:val="none"/>
              <w:shd w:fill="auto" w:val="clear"/>
              <w:vertAlign w:val="baseline"/>
              <w:rtl w:val="0"/>
            </w:rPr>
            <w:t xml:space="preserve"> 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44"/>
              <w:szCs w:val="44"/>
              <w:u w:val="none"/>
              <w:shd w:fill="auto" w:val="clear"/>
              <w:vertAlign w:val="baseline"/>
            </w:rPr>
            <w:drawing>
              <wp:inline distB="0" distT="0" distL="0" distR="0">
                <wp:extent cx="457200" cy="666750"/>
                <wp:effectExtent b="0" l="0" r="0" t="0"/>
                <wp:docPr descr="Matica_logo" id="1" name="image1.jpg"/>
                <a:graphic>
                  <a:graphicData uri="http://schemas.openxmlformats.org/drawingml/2006/picture">
                    <pic:pic>
                      <pic:nvPicPr>
                        <pic:cNvPr descr="Matica_logo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6667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44"/>
              <w:szCs w:val="44"/>
              <w:u w:val="none"/>
              <w:shd w:fill="auto" w:val="clear"/>
              <w:vertAlign w:val="baseline"/>
              <w:rtl w:val="0"/>
            </w:rPr>
            <w:t xml:space="preserve">               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48"/>
              <w:szCs w:val="48"/>
              <w:u w:val="none"/>
              <w:shd w:fill="auto" w:val="clear"/>
              <w:vertAlign w:val="baseline"/>
              <w:rtl w:val="0"/>
            </w:rPr>
            <w:t xml:space="preserve">Matica slovenská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808080" w:space="0" w:sz="18" w:val="single"/>
            <w:bottom w:color="808080" w:space="0" w:sz="18" w:val="single"/>
          </w:tcBorders>
          <w:shd w:fill="auto" w:val="clear"/>
        </w:tcPr>
        <w:p w:rsidR="00000000" w:rsidDel="00000000" w:rsidP="00000000" w:rsidRDefault="00000000" w:rsidRPr="00000000" w14:paraId="0000009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  <w:rtl w:val="0"/>
            </w:rPr>
            <w:t xml:space="preserve">2022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070.0" w:type="dxa"/>
      <w:jc w:val="left"/>
      <w:tblInd w:w="0.0" w:type="dxa"/>
      <w:tblBorders>
        <w:bottom w:color="808080" w:space="0" w:sz="18" w:val="single"/>
        <w:right w:color="808080" w:space="0" w:sz="18" w:val="single"/>
        <w:insideH w:color="808080" w:space="0" w:sz="18" w:val="single"/>
        <w:insideV w:color="808080" w:space="0" w:sz="18" w:val="single"/>
      </w:tblBorders>
      <w:tblLayout w:type="fixed"/>
      <w:tblLook w:val="0000"/>
    </w:tblPr>
    <w:tblGrid>
      <w:gridCol w:w="7939"/>
      <w:gridCol w:w="1131"/>
      <w:tblGridChange w:id="0">
        <w:tblGrid>
          <w:gridCol w:w="7939"/>
          <w:gridCol w:w="1131"/>
        </w:tblGrid>
      </w:tblGridChange>
    </w:tblGrid>
    <w:tr>
      <w:trPr>
        <w:cantSplit w:val="0"/>
        <w:trHeight w:val="631" w:hRule="atLeast"/>
        <w:tblHeader w:val="0"/>
      </w:trPr>
      <w:tc>
        <w:tcPr>
          <w:tcBorders>
            <w:bottom w:color="808080" w:space="0" w:sz="18" w:val="single"/>
            <w:right w:color="808080" w:space="0" w:sz="18" w:val="single"/>
          </w:tcBorders>
          <w:shd w:fill="auto" w:val="clear"/>
        </w:tcPr>
        <w:p w:rsidR="00000000" w:rsidDel="00000000" w:rsidP="00000000" w:rsidRDefault="00000000" w:rsidRPr="00000000" w14:paraId="0000009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7f7f7f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7f7f7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Výzva na predkladanie žiadostí na poskytnutie dotácie na projekty ochrany a rozvoja miestnej a regionálnej kultúry</w:t>
          </w:r>
        </w:p>
      </w:tc>
      <w:tc>
        <w:tcPr>
          <w:tcBorders>
            <w:left w:color="808080" w:space="0" w:sz="18" w:val="single"/>
            <w:bottom w:color="808080" w:space="0" w:sz="18" w:val="single"/>
          </w:tcBorders>
          <w:shd w:fill="auto" w:val="clear"/>
        </w:tcPr>
        <w:p w:rsidR="00000000" w:rsidDel="00000000" w:rsidP="00000000" w:rsidRDefault="00000000" w:rsidRPr="00000000" w14:paraId="0000009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2022</w:t>
          </w:r>
        </w:p>
      </w:tc>
    </w:tr>
  </w:tbl>
  <w:p w:rsidR="00000000" w:rsidDel="00000000" w:rsidP="00000000" w:rsidRDefault="00000000" w:rsidRPr="00000000" w14:paraId="000000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lowerLetter"/>
      <w:lvlText w:val="%1)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firstLine="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firstLine="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firstLine="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lowerLetter"/>
      <w:lvlText w:val="%1)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firstLine="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firstLine="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firstLine="0"/>
      </w:pPr>
      <w:rPr/>
    </w:lvl>
  </w:abstractNum>
  <w:abstractNum w:abstractNumId="7">
    <w:lvl w:ilvl="0">
      <w:start w:val="1"/>
      <w:numFmt w:val="lowerLetter"/>
      <w:lvlText w:val="%1)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firstLine="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firstLine="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